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18C0813A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C905BE" w:rsidRPr="00C905BE">
        <w:rPr>
          <w:rFonts w:ascii="Verdana" w:eastAsia="Verdana" w:hAnsi="Verdana"/>
          <w:b/>
          <w:sz w:val="18"/>
          <w:szCs w:val="18"/>
        </w:rPr>
        <w:t>SZCZEGÓŁOWY OPIS PRZEDMIOTU ZAKUPU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1</w:t>
      </w:r>
    </w:p>
    <w:p w14:paraId="45847CCC" w14:textId="77777777" w:rsidR="003A29DF" w:rsidRPr="004B4087" w:rsidRDefault="003A29DF" w:rsidP="003A29DF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06B46A17" w14:textId="77777777" w:rsidR="003A29DF" w:rsidRPr="004B4087" w:rsidRDefault="003A29DF" w:rsidP="003A29DF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5256AEE0" w14:textId="77777777" w:rsidR="003A29DF" w:rsidRPr="004B4087" w:rsidRDefault="003A29DF" w:rsidP="003A29DF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Opracowanie </w:t>
      </w:r>
      <w:r w:rsidRPr="004B4087">
        <w:rPr>
          <w:rFonts w:ascii="Verdana" w:hAnsi="Verdana"/>
          <w:sz w:val="18"/>
          <w:szCs w:val="18"/>
          <w:lang w:val="pl-PL"/>
        </w:rPr>
        <w:t xml:space="preserve"> projektu technicznego,</w:t>
      </w:r>
    </w:p>
    <w:p w14:paraId="627F9BE4" w14:textId="77777777" w:rsidR="003A29DF" w:rsidRPr="004B4087" w:rsidRDefault="003A29DF" w:rsidP="003A29DF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548C75D5" w14:textId="77777777" w:rsidR="003A29DF" w:rsidRPr="004B4087" w:rsidRDefault="003A29DF" w:rsidP="003A29DF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2B915DD2" w14:textId="77777777" w:rsidR="003A29DF" w:rsidRPr="004B4087" w:rsidRDefault="003A29DF" w:rsidP="003A29DF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02C91B48" w14:textId="77777777" w:rsidR="003A29DF" w:rsidRPr="004B4087" w:rsidRDefault="003A29DF" w:rsidP="003A29DF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prac pomiarowych, badań pomontażowych,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78285266" w14:textId="77777777" w:rsidR="003A29DF" w:rsidRPr="004B4087" w:rsidRDefault="003A29DF" w:rsidP="003A29DF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DEE0A91" w14:textId="77777777" w:rsidR="003A29DF" w:rsidRPr="004B4087" w:rsidRDefault="003A29DF" w:rsidP="003A29DF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01842A7" w14:textId="77777777" w:rsidR="003A29DF" w:rsidRPr="004B4087" w:rsidRDefault="003A29DF" w:rsidP="003A29DF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6DC1E2AC" w14:textId="77777777" w:rsidR="003A29DF" w:rsidRPr="004B4087" w:rsidRDefault="003A29DF" w:rsidP="003A29DF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rozłącznika sterowanego radiem(wraz ze sterownikiem i terminalem komunikacyjnym) bez wymiany słupa SN, w miejscowości Rembów, gm. Brzeźnio GPS(51.4805320, 18.6539513)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4221D0CD" w14:textId="77777777" w:rsidR="003A29DF" w:rsidRPr="004B4087" w:rsidRDefault="003A29DF" w:rsidP="003A29DF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rozłącznika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57</w:t>
      </w:r>
      <w:r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-R-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0597</w:t>
      </w:r>
      <w:r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rozłącznik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</w:p>
    <w:p w14:paraId="26542D1A" w14:textId="77777777" w:rsidR="003A29DF" w:rsidRPr="004B4087" w:rsidRDefault="003A29DF" w:rsidP="003A29DF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0653161E" w14:textId="77777777" w:rsidR="003A29DF" w:rsidRPr="004B4087" w:rsidRDefault="003A29DF" w:rsidP="003A29DF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Realizacja prac polega na:</w:t>
      </w:r>
    </w:p>
    <w:p w14:paraId="3C841DF1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Opracowaniu dokumentacji technicznej na wymianę łączników SN sterowanych zdalnie (rozłącznik SN, reklozer SN) i uzgodnienie jej w Centrali Oddziału Łódź </w:t>
      </w:r>
    </w:p>
    <w:p w14:paraId="337D845D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Demontażu istniejącego rozłącznika SN sterowanego zdalnie / reklozera SN sterowanego zdalnie w linii napowietrznej SN wraz z kompletnym napędem i szafką sterowniczą, </w:t>
      </w:r>
    </w:p>
    <w:p w14:paraId="714BA725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nowego rozłącznika SN sterowanego zdalnie / reklozera SN sterowanego zdalnie </w:t>
      </w:r>
      <w:r w:rsidRPr="004B4087">
        <w:rPr>
          <w:rFonts w:ascii="Verdana" w:hAnsi="Verdana" w:cs="Calibri"/>
          <w:sz w:val="18"/>
          <w:szCs w:val="18"/>
        </w:rPr>
        <w:br/>
        <w:t>wykonanego zgodnie z WBSE w miejscu zdemontowanego łącznika SN w linii napowietrznej SN,</w:t>
      </w:r>
    </w:p>
    <w:p w14:paraId="7E581B97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kompletnego zestawu napędowego wraz z szafką sterowniczą wyposażoną także </w:t>
      </w:r>
      <w:r w:rsidRPr="004B4087">
        <w:rPr>
          <w:rFonts w:ascii="Verdana" w:hAnsi="Verdana" w:cs="Calibri"/>
          <w:sz w:val="18"/>
          <w:szCs w:val="18"/>
        </w:rPr>
        <w:br/>
        <w:t>w zasilacz buforowy i sterownik telemechaniki, dla wymienianych reklozerów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15277874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jedną skrzynkę sterowniczo-sygnalizacyjną,</w:t>
      </w:r>
    </w:p>
    <w:p w14:paraId="2644B2B7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rozłączniki w izolacji silikonowej o prądzie znamionowym 630A,</w:t>
      </w:r>
    </w:p>
    <w:p w14:paraId="3488CF47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7F84A47D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szafki sterowniczej na żerdzi słupowej na wysokości: </w:t>
      </w:r>
    </w:p>
    <w:p w14:paraId="1EA75D7A" w14:textId="77777777" w:rsidR="003A29DF" w:rsidRPr="004B4087" w:rsidRDefault="003A29DF" w:rsidP="003A29DF">
      <w:pPr>
        <w:pStyle w:val="Akapitzlist"/>
        <w:numPr>
          <w:ilvl w:val="0"/>
          <w:numId w:val="43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15B9D3C9" w14:textId="77777777" w:rsidR="003A29DF" w:rsidRPr="004B4087" w:rsidRDefault="003A29DF" w:rsidP="003A29DF">
      <w:pPr>
        <w:pStyle w:val="Akapitzlist"/>
        <w:numPr>
          <w:ilvl w:val="0"/>
          <w:numId w:val="43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14FE7DEB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Montażu dwóch kompletów ograniczników przepięć SN – po jednym komplecie z każdej strony łącznika SN,</w:t>
      </w:r>
    </w:p>
    <w:p w14:paraId="0231672F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Połączenia prądowe obwodów pierwotnych realizować przewodem w niepełnej izolacji typu AASXSn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3C501C23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Montażu ograniczników przepięć nn w szafce sterowniczej – na wejściu zasilania do ww. szafki – sygnalizację uszkodzenia ograniczników przepięć należy wpiąć do systemu nadzoru dyspozytorskiego WindEX ,</w:t>
      </w:r>
    </w:p>
    <w:p w14:paraId="68544F0B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Pr="004B4087">
        <w:rPr>
          <w:rFonts w:ascii="Verdana" w:hAnsi="Verdana" w:cs="Calibri"/>
          <w:sz w:val="18"/>
          <w:szCs w:val="18"/>
        </w:rPr>
        <w:br/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>C ÷ + 55</w:t>
      </w:r>
      <w:r w:rsidRPr="004B4087">
        <w:rPr>
          <w:rFonts w:ascii="Verdana" w:hAnsi="Verdana" w:cs="Calibri"/>
          <w:sz w:val="18"/>
          <w:szCs w:val="18"/>
          <w:vertAlign w:val="superscript"/>
        </w:rPr>
        <w:t xml:space="preserve"> o</w:t>
      </w:r>
      <w:r w:rsidRPr="004B4087">
        <w:rPr>
          <w:rFonts w:ascii="Verdana" w:hAnsi="Verdana" w:cs="Calibri"/>
          <w:sz w:val="18"/>
          <w:szCs w:val="18"/>
        </w:rPr>
        <w:t xml:space="preserve">C       </w:t>
      </w:r>
    </w:p>
    <w:p w14:paraId="05695229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Weryfikację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 xml:space="preserve">o wartości  R≤10Ω (po przeliczeniu z uwzględnieniem współczynników korekcyjnych dla danego gruntu) </w:t>
      </w:r>
    </w:p>
    <w:p w14:paraId="3481975B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Podłączeniu przekładników napięciowych / kombisensorów realizować od strony zasilania linii SN w układzie normalnym – uzgodnić z RE na etapie prac projektowych,</w:t>
      </w:r>
    </w:p>
    <w:p w14:paraId="6A985B31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sygnału sterującego i dostosować do niego odpowiedniej mocy antenę (np. antenę kierunkową),</w:t>
      </w:r>
    </w:p>
    <w:p w14:paraId="71EF5E89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Zastosować moduł komunikacyjny umożliwiający łączność w systemie GPRS oraz LTE450,</w:t>
      </w:r>
    </w:p>
    <w:p w14:paraId="070A91A7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Sygnalizację wraz z pomiarami z zainstalowanego łącznika SN należy zaimplementować do systemu nadzoru dyspozytorskiego WindEX wraz z odwzorowaniem stanu położenia łącznika SN,</w:t>
      </w:r>
    </w:p>
    <w:p w14:paraId="3B826C17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15797F95" w14:textId="77777777" w:rsidR="003A29DF" w:rsidRPr="004B4087" w:rsidRDefault="003A29DF" w:rsidP="003A29DF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o poprawności wprowadzonych danych do systemu nadzoru dyspozytorskiego WindEX wraz z przeprowadzonymi próbami funkcjonalnymi łącznika lokalnie</w:t>
      </w:r>
      <w:r w:rsidRPr="004B4087">
        <w:rPr>
          <w:rFonts w:ascii="Verdana" w:hAnsi="Verdana" w:cs="Calibri"/>
          <w:sz w:val="18"/>
          <w:szCs w:val="18"/>
        </w:rPr>
        <w:br/>
        <w:t xml:space="preserve"> i zdalnie z poziomu systemu nadzoru dyspozytorskiego WindEX,</w:t>
      </w:r>
    </w:p>
    <w:p w14:paraId="712026B5" w14:textId="77777777" w:rsidR="003A29DF" w:rsidRPr="004B4087" w:rsidRDefault="003A29DF" w:rsidP="003A29DF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>Przygotowanie dokumentacji technicznej</w:t>
      </w:r>
    </w:p>
    <w:p w14:paraId="7979D4B4" w14:textId="77777777" w:rsidR="003A29DF" w:rsidRPr="004B4087" w:rsidRDefault="003A29DF" w:rsidP="003A29DF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Pr="004B4087">
        <w:rPr>
          <w:rFonts w:ascii="Verdana" w:hAnsi="Verdana"/>
          <w:b/>
          <w:sz w:val="18"/>
          <w:szCs w:val="18"/>
        </w:rPr>
        <w:t xml:space="preserve"> </w:t>
      </w:r>
    </w:p>
    <w:p w14:paraId="51E1ED68" w14:textId="77777777" w:rsidR="003A29DF" w:rsidRPr="004B4087" w:rsidRDefault="003A29DF" w:rsidP="003A29DF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budowy/przebudowy urządzeń elektroenergetycznych, sporządzonej zgodnie z normami, przepisami, zasadami współczesnej wiedzy technicznej, przepisami BHP.</w:t>
      </w:r>
    </w:p>
    <w:p w14:paraId="635D9DE6" w14:textId="77777777" w:rsidR="003A29DF" w:rsidRPr="004B4087" w:rsidRDefault="003A29DF" w:rsidP="003A29DF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Dystrybucja S.A. Oddział Łódź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S.A”.</w:t>
      </w:r>
    </w:p>
    <w:bookmarkEnd w:id="2"/>
    <w:p w14:paraId="197F68B5" w14:textId="77777777" w:rsidR="003A29DF" w:rsidRPr="004B4087" w:rsidRDefault="003A29DF" w:rsidP="003A29DF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 xml:space="preserve">Dokumentacja projektowa będzie przedłożona Zamawiającemu </w:t>
      </w:r>
      <w:r w:rsidRPr="004B4087">
        <w:rPr>
          <w:rFonts w:ascii="Verdana" w:hAnsi="Verdana"/>
          <w:b/>
          <w:color w:val="000000"/>
          <w:sz w:val="18"/>
          <w:szCs w:val="18"/>
        </w:rPr>
        <w:t>do uzgodnienia i podlega akceptacji przed rozpoczęciem robót budowlano – montażowych</w:t>
      </w:r>
      <w:r w:rsidRPr="004B4087">
        <w:rPr>
          <w:rFonts w:ascii="Verdana" w:hAnsi="Verdana"/>
          <w:color w:val="000000"/>
          <w:sz w:val="18"/>
          <w:szCs w:val="18"/>
        </w:rPr>
        <w:t xml:space="preserve">. Uzgodnienie przez Zamawiającego projektu nie zwalnia Wykonawcy od zrealizowania zakresu prac zgodnie </w:t>
      </w:r>
      <w:r w:rsidRPr="004B4087">
        <w:rPr>
          <w:rFonts w:ascii="Verdana" w:hAnsi="Verdana"/>
          <w:color w:val="000000"/>
          <w:sz w:val="18"/>
          <w:szCs w:val="18"/>
        </w:rPr>
        <w:br/>
        <w:t>z wiedzą techniczną.</w:t>
      </w:r>
    </w:p>
    <w:p w14:paraId="47E0ADA9" w14:textId="77777777" w:rsidR="003A29DF" w:rsidRPr="004B4087" w:rsidRDefault="003A29DF" w:rsidP="003A29DF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budowie realizowanej według wykonanej przez siebie dokumentacji technicznej, w zakresie czynności wynikających z Prawa Budowlanego.</w:t>
      </w:r>
    </w:p>
    <w:p w14:paraId="1173184B" w14:textId="77777777" w:rsidR="003A29DF" w:rsidRPr="004B4087" w:rsidRDefault="003A29DF" w:rsidP="003A29DF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0777BE4E" w14:textId="77777777" w:rsidR="003A29DF" w:rsidRPr="004B4087" w:rsidRDefault="003A29DF" w:rsidP="003A29DF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uzgodnić prace z właścicielem nieruchomości (użytkownikiem wieczystym). Wyrażenie zgody na przeprowadzenie prac wymaga zachowania formy pisemnej.  </w:t>
      </w:r>
    </w:p>
    <w:p w14:paraId="17CC6DA3" w14:textId="77777777" w:rsidR="003A29DF" w:rsidRPr="004B4087" w:rsidRDefault="003A29DF" w:rsidP="003A29DF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1896BBA4" w14:textId="77777777" w:rsidR="003A29DF" w:rsidRPr="004B4087" w:rsidRDefault="003A29DF" w:rsidP="003A29DF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69A9499C" w14:textId="77777777" w:rsidR="003A29DF" w:rsidRPr="004B4087" w:rsidRDefault="003A29DF" w:rsidP="003A29DF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realizacji robót budowlan</w:t>
      </w:r>
      <w:r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1E79C702" w14:textId="77777777" w:rsidR="003A29DF" w:rsidRPr="004B4087" w:rsidRDefault="003A29DF" w:rsidP="003A29DF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>
        <w:rPr>
          <w:rFonts w:ascii="Verdana" w:hAnsi="Verdana"/>
          <w:b/>
          <w:bCs/>
          <w:color w:val="FF0000"/>
          <w:sz w:val="18"/>
          <w:szCs w:val="18"/>
          <w:lang w:eastAsia="x-none"/>
        </w:rPr>
        <w:t>0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>
        <w:rPr>
          <w:rFonts w:ascii="Verdana" w:hAnsi="Verdana"/>
          <w:b/>
          <w:bCs/>
          <w:color w:val="FF0000"/>
          <w:sz w:val="18"/>
          <w:szCs w:val="18"/>
          <w:lang w:eastAsia="x-none"/>
        </w:rPr>
        <w:t>0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Cs/>
          <w:sz w:val="18"/>
          <w:szCs w:val="18"/>
          <w:lang w:eastAsia="x-none"/>
        </w:rPr>
        <w:t>dla każdego zadania.</w:t>
      </w:r>
      <w:r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40D44954" w14:textId="77777777" w:rsidR="003A29DF" w:rsidRPr="004B4087" w:rsidRDefault="003A29DF" w:rsidP="003A29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 celu dotrzymania maksymalnych czasów w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14:paraId="2B0DFECC" w14:textId="77777777" w:rsidR="003A29DF" w:rsidRPr="004B4087" w:rsidRDefault="003A29DF" w:rsidP="003A29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Stacje transformatorowe 15/0,4 kV wskazane przez Zamawiającego do zasilania jednostkami prądotwórczymi:</w:t>
      </w:r>
    </w:p>
    <w:p w14:paraId="52F4A56F" w14:textId="77777777" w:rsidR="003A29DF" w:rsidRPr="004B4087" w:rsidRDefault="003A29DF" w:rsidP="003A29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Nowa Wieś Kol. k/Brzeźnia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7-0693,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40 kVA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0E7B7E8D" w14:textId="77777777" w:rsidR="003A29DF" w:rsidRPr="004B4087" w:rsidRDefault="003A29DF" w:rsidP="003A29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Rembów 2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7-0709,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-100 kVA,</w:t>
      </w:r>
    </w:p>
    <w:p w14:paraId="32B297ED" w14:textId="77777777" w:rsidR="003A29DF" w:rsidRDefault="003A29DF" w:rsidP="003A29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bookmarkStart w:id="3" w:name="_Hlk215642724"/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Zgórz Kol.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7-0678,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-40 kVA,</w:t>
      </w:r>
      <w:bookmarkEnd w:id="3"/>
    </w:p>
    <w:p w14:paraId="087B3B7D" w14:textId="77777777" w:rsidR="003A29DF" w:rsidRPr="004B4087" w:rsidRDefault="003A29DF" w:rsidP="003A29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Zapole 6,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5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1461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 moc transformatora-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25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</w:p>
    <w:p w14:paraId="7AA5DC76" w14:textId="77777777" w:rsidR="003A29DF" w:rsidRPr="004B4087" w:rsidRDefault="003A29DF" w:rsidP="003A29DF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lastRenderedPageBreak/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4B4087">
        <w:rPr>
          <w:rFonts w:ascii="Verdana" w:hAnsi="Verdana"/>
          <w:sz w:val="18"/>
          <w:szCs w:val="18"/>
        </w:rPr>
        <w:t xml:space="preserve"> zgłoszenia i uzgodnienia Harmonogramu planowanych wyłączeń zgodnego ze złożoną ofertą (załącznik nr 1 do umowy)  i warunkami </w:t>
      </w:r>
      <w:r w:rsidRPr="004B4087">
        <w:rPr>
          <w:rFonts w:ascii="Verdana" w:hAnsi="Verdana"/>
          <w:sz w:val="18"/>
          <w:szCs w:val="18"/>
          <w:lang w:val="pl-PL"/>
        </w:rPr>
        <w:t>ogłoszenia,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48078198" w14:textId="77777777" w:rsidR="003A29DF" w:rsidRPr="004B4087" w:rsidRDefault="003A29DF" w:rsidP="003A29DF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SN objętych dokumentacją techniczną w sposób maksymalnie ograniczający przerwy w dostawie energii elektrycznej dla odbiorców. </w:t>
      </w:r>
    </w:p>
    <w:p w14:paraId="63037F41" w14:textId="77777777" w:rsidR="003A29DF" w:rsidRPr="004B4087" w:rsidRDefault="003A29DF" w:rsidP="003A29DF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„Instrukcj</w:t>
      </w:r>
      <w:r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samodopuszczeń w sieci PGE Dystrybucja S.A. Oddział </w:t>
      </w:r>
      <w:r w:rsidRPr="004B4087">
        <w:rPr>
          <w:rFonts w:ascii="Verdana" w:hAnsi="Verdana"/>
          <w:sz w:val="18"/>
          <w:szCs w:val="18"/>
        </w:rPr>
        <w:t>Łódź”</w:t>
      </w:r>
      <w:r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1835D50E" w14:textId="77777777" w:rsidR="003A29DF" w:rsidRPr="004B4087" w:rsidRDefault="003A29DF" w:rsidP="003A29DF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43B37E6" w14:textId="77777777" w:rsidR="003A29DF" w:rsidRPr="004B4087" w:rsidRDefault="003A29DF" w:rsidP="003A29DF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 xml:space="preserve">umowa stanowiąca załącznik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4EDC6D23" w14:textId="77777777" w:rsidR="003A29DF" w:rsidRPr="004B4087" w:rsidRDefault="003A29DF" w:rsidP="003A29DF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PGE Dystrybucja S.A. Oddział Łódź winny posiadać upoważnienia podstawowe do wykonywania tych prac. Upoważnienie podstawowe </w:t>
      </w:r>
      <w:r w:rsidRPr="004B4087">
        <w:rPr>
          <w:rFonts w:ascii="Verdana" w:hAnsi="Verdana"/>
          <w:sz w:val="18"/>
          <w:szCs w:val="18"/>
          <w:lang w:val="pl-PL"/>
        </w:rPr>
        <w:t>dla</w:t>
      </w:r>
      <w:r w:rsidRPr="004B4087">
        <w:rPr>
          <w:rFonts w:ascii="Verdana" w:hAnsi="Verdana"/>
          <w:sz w:val="18"/>
          <w:szCs w:val="18"/>
        </w:rPr>
        <w:t xml:space="preserve"> osób zatrudnion</w:t>
      </w:r>
      <w:r w:rsidRPr="004B4087">
        <w:rPr>
          <w:rFonts w:ascii="Verdana" w:hAnsi="Verdana"/>
          <w:sz w:val="18"/>
          <w:szCs w:val="18"/>
          <w:lang w:val="pl-PL"/>
        </w:rPr>
        <w:t>ych</w:t>
      </w:r>
      <w:r w:rsidRPr="004B4087">
        <w:rPr>
          <w:rFonts w:ascii="Verdana" w:hAnsi="Verdana"/>
          <w:sz w:val="18"/>
          <w:szCs w:val="18"/>
        </w:rPr>
        <w:t xml:space="preserve"> przez firmę zewnętrzną </w:t>
      </w:r>
      <w:r w:rsidRPr="004B4087">
        <w:rPr>
          <w:rFonts w:ascii="Verdana" w:hAnsi="Verdana"/>
          <w:sz w:val="18"/>
          <w:szCs w:val="18"/>
          <w:lang w:val="pl-PL"/>
        </w:rPr>
        <w:t>nadaje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Pracodawc</w:t>
      </w:r>
      <w:r>
        <w:rPr>
          <w:rFonts w:ascii="Verdana" w:hAnsi="Verdana"/>
          <w:sz w:val="18"/>
          <w:szCs w:val="18"/>
          <w:lang w:val="pl-PL"/>
        </w:rPr>
        <w:t>a</w:t>
      </w:r>
      <w:r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elektroenergetycznych przy których będzie wykonywana praca. 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 </w:t>
      </w:r>
    </w:p>
    <w:p w14:paraId="7953B7D8" w14:textId="77777777" w:rsidR="003A29DF" w:rsidRPr="004B4087" w:rsidRDefault="003A29DF" w:rsidP="003A29DF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1BC0DB66" w14:textId="77777777" w:rsidR="003A29DF" w:rsidRPr="004B4087" w:rsidRDefault="003A29DF" w:rsidP="003A29DF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 i wyprodukowane nie wcześniej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12 miesięcy 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 oraz spełniać określone poniżej wymagania techniczne</w:t>
      </w:r>
    </w:p>
    <w:p w14:paraId="50AD8A55" w14:textId="77777777" w:rsidR="003A29DF" w:rsidRPr="004B4087" w:rsidRDefault="003A29DF" w:rsidP="003A29DF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 xml:space="preserve">umowa stanowiąca załącznik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2CA0B426" w14:textId="77777777" w:rsidR="003A29DF" w:rsidRPr="004B4087" w:rsidRDefault="003A29DF" w:rsidP="003A29DF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2C2BE468" w14:textId="77777777" w:rsidR="003A29DF" w:rsidRPr="004B4087" w:rsidRDefault="003A29DF" w:rsidP="003A29DF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Wymagania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>dotyczące wykonywania robót demontażowych określa umowa stanowiąca załącznik</w:t>
      </w:r>
      <w:r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2AE63204" w14:textId="77777777" w:rsidR="003A29DF" w:rsidRPr="004B4087" w:rsidRDefault="003A29DF" w:rsidP="003A29DF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5C197AD3" w14:textId="77777777" w:rsidR="003A29DF" w:rsidRPr="004B4087" w:rsidRDefault="003A29DF" w:rsidP="003A29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 xml:space="preserve">Odbiory prac dokonywane są przez Zamawiającego zgodnie z „Ramową instrukcją przeprowadzania odbiorów obiektów budowlanych związanych z dystrybucją energii elektrycznej </w:t>
      </w:r>
      <w:r w:rsidRPr="004B4087">
        <w:rPr>
          <w:rFonts w:ascii="Verdana" w:hAnsi="Verdana"/>
          <w:sz w:val="18"/>
          <w:szCs w:val="18"/>
          <w:lang w:val="pl-PL"/>
        </w:rPr>
        <w:br/>
      </w:r>
      <w:r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Pr="004B4087">
        <w:rPr>
          <w:rFonts w:ascii="Verdana" w:hAnsi="Verdana"/>
          <w:sz w:val="18"/>
          <w:szCs w:val="18"/>
        </w:rPr>
        <w:t>robót budowlanych stanowiącej załącznik</w:t>
      </w:r>
      <w:r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5889D368" w14:textId="77777777" w:rsidR="003A29DF" w:rsidRPr="004B4087" w:rsidRDefault="003A29DF" w:rsidP="003A29DF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3A80260E" w14:textId="77777777" w:rsidR="003A29DF" w:rsidRPr="004B4087" w:rsidRDefault="003A29DF" w:rsidP="003A29DF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6140C8CA" w14:textId="77777777" w:rsidR="003A29DF" w:rsidRPr="004B4087" w:rsidRDefault="003A29DF" w:rsidP="003A29D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Uzgodnioną dokumentację techniczną</w:t>
      </w:r>
      <w:r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0D63E832" w14:textId="77777777" w:rsidR="003A29DF" w:rsidRPr="004B4087" w:rsidRDefault="003A29DF" w:rsidP="003A29D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4CCF6E7A" w14:textId="77777777" w:rsidR="003A29DF" w:rsidRPr="004B4087" w:rsidRDefault="003A29DF" w:rsidP="003A29D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lastRenderedPageBreak/>
        <w:t xml:space="preserve">Deklaracje właściwości użytkowych dla </w:t>
      </w:r>
      <w:r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4CCE0D85" w14:textId="77777777" w:rsidR="003A29DF" w:rsidRPr="004B4087" w:rsidRDefault="003A29DF" w:rsidP="003A29D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 </w:t>
      </w:r>
      <w:r w:rsidRPr="004B4087">
        <w:rPr>
          <w:rFonts w:ascii="Verdana" w:hAnsi="Verdana"/>
          <w:sz w:val="18"/>
          <w:szCs w:val="18"/>
          <w:lang w:val="pl-PL"/>
        </w:rPr>
        <w:t>(</w:t>
      </w:r>
      <w:r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Pr="004B4087">
        <w:rPr>
          <w:rFonts w:ascii="Verdana" w:hAnsi="Verdana"/>
          <w:sz w:val="18"/>
          <w:szCs w:val="18"/>
          <w:lang w:val="pl-PL"/>
        </w:rPr>
        <w:t>)</w:t>
      </w:r>
    </w:p>
    <w:p w14:paraId="17E980EF" w14:textId="77777777" w:rsidR="003A29DF" w:rsidRPr="004B4087" w:rsidRDefault="003A29DF" w:rsidP="003A29D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74040D97" w14:textId="77777777" w:rsidR="003A29DF" w:rsidRPr="004B4087" w:rsidRDefault="003A29DF" w:rsidP="003A29DF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5A8A3F9B" w14:textId="77777777" w:rsidR="003A29DF" w:rsidRPr="004B4087" w:rsidRDefault="003A29DF" w:rsidP="003A29DF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04B710ED" w14:textId="77777777" w:rsidR="003A29DF" w:rsidRPr="00B168E6" w:rsidRDefault="003A29DF" w:rsidP="003A29DF">
      <w:pPr>
        <w:rPr>
          <w:rFonts w:asciiTheme="minorHAnsi" w:hAnsiTheme="minorHAnsi"/>
          <w:lang w:eastAsia="x-none"/>
        </w:rPr>
      </w:pP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sectPr w:rsid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4CD90AB2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</w:t>
          </w:r>
          <w:r w:rsidR="00C905BE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6</w:t>
          </w: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4</w:t>
          </w:r>
          <w:r w:rsidR="00C905BE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7</w:t>
          </w: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5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3"/>
  </w:num>
  <w:num w:numId="2" w16cid:durableId="1666781076">
    <w:abstractNumId w:val="73"/>
  </w:num>
  <w:num w:numId="3" w16cid:durableId="695618621">
    <w:abstractNumId w:val="79"/>
  </w:num>
  <w:num w:numId="4" w16cid:durableId="1491143360">
    <w:abstractNumId w:val="84"/>
  </w:num>
  <w:num w:numId="5" w16cid:durableId="229658365">
    <w:abstractNumId w:val="71"/>
  </w:num>
  <w:num w:numId="6" w16cid:durableId="729231014">
    <w:abstractNumId w:val="81"/>
  </w:num>
  <w:num w:numId="7" w16cid:durableId="2000502219">
    <w:abstractNumId w:val="89"/>
  </w:num>
  <w:num w:numId="8" w16cid:durableId="1306932007">
    <w:abstractNumId w:val="88"/>
  </w:num>
  <w:num w:numId="9" w16cid:durableId="727918753">
    <w:abstractNumId w:val="61"/>
  </w:num>
  <w:num w:numId="10" w16cid:durableId="960380475">
    <w:abstractNumId w:val="87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4"/>
  </w:num>
  <w:num w:numId="16" w16cid:durableId="1599559039">
    <w:abstractNumId w:val="82"/>
  </w:num>
  <w:num w:numId="17" w16cid:durableId="2051405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4"/>
  </w:num>
  <w:num w:numId="20" w16cid:durableId="1685479152">
    <w:abstractNumId w:val="62"/>
  </w:num>
  <w:num w:numId="21" w16cid:durableId="58140308">
    <w:abstractNumId w:val="72"/>
  </w:num>
  <w:num w:numId="22" w16cid:durableId="947393248">
    <w:abstractNumId w:val="67"/>
  </w:num>
  <w:num w:numId="23" w16cid:durableId="1195923593">
    <w:abstractNumId w:val="60"/>
  </w:num>
  <w:num w:numId="24" w16cid:durableId="336348223">
    <w:abstractNumId w:val="85"/>
  </w:num>
  <w:num w:numId="25" w16cid:durableId="862862901">
    <w:abstractNumId w:val="69"/>
  </w:num>
  <w:num w:numId="26" w16cid:durableId="1364868577">
    <w:abstractNumId w:val="55"/>
  </w:num>
  <w:num w:numId="27" w16cid:durableId="494304781">
    <w:abstractNumId w:val="75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7"/>
  </w:num>
  <w:num w:numId="33" w16cid:durableId="1891070939">
    <w:abstractNumId w:val="65"/>
  </w:num>
  <w:num w:numId="34" w16cid:durableId="952401735">
    <w:abstractNumId w:val="80"/>
  </w:num>
  <w:num w:numId="35" w16cid:durableId="122307402">
    <w:abstractNumId w:val="78"/>
  </w:num>
  <w:num w:numId="36" w16cid:durableId="147333472">
    <w:abstractNumId w:val="68"/>
  </w:num>
  <w:num w:numId="37" w16cid:durableId="14574755">
    <w:abstractNumId w:val="86"/>
  </w:num>
  <w:num w:numId="38" w16cid:durableId="1285697790">
    <w:abstractNumId w:val="54"/>
  </w:num>
  <w:num w:numId="39" w16cid:durableId="768038164">
    <w:abstractNumId w:val="76"/>
  </w:num>
  <w:num w:numId="40" w16cid:durableId="23290739">
    <w:abstractNumId w:val="70"/>
  </w:num>
  <w:num w:numId="41" w16cid:durableId="495654263">
    <w:abstractNumId w:val="83"/>
  </w:num>
  <w:num w:numId="42" w16cid:durableId="46995121">
    <w:abstractNumId w:val="53"/>
  </w:num>
  <w:num w:numId="43" w16cid:durableId="2036075395">
    <w:abstractNumId w:val="6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853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29DF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0ABC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120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12B7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5BE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reklozer - część 2.docx</dmsv2BaseFileName>
    <dmsv2BaseDisplayName xmlns="http://schemas.microsoft.com/sharepoint/v3">Załącznik nr 1.3 do SWZ  - Specyfikacja techniczna 2026 - reklozer - część 2</dmsv2BaseDisplayName>
    <dmsv2SWPP2ObjectNumber xmlns="http://schemas.microsoft.com/sharepoint/v3">POST/DYS/OLD/GZ/04647/2025                        </dmsv2SWPP2ObjectNumber>
    <dmsv2SWPP2SumMD5 xmlns="http://schemas.microsoft.com/sharepoint/v3">f645bd3129e9fb1d8fb8087d1123ee5e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24108221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JEUP5JKVCYQC-922955212-21023</_dlc_DocId>
    <_dlc_DocIdUrl xmlns="a19cb1c7-c5c7-46d4-85ae-d83685407bba">
      <Url>https://swpp2.dms.gkpge.pl/sites/41/_layouts/15/DocIdRedir.aspx?ID=JEUP5JKVCYQC-922955212-21023</Url>
      <Description>JEUP5JKVCYQC-922955212-21023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31176EE-FAA6-4210-8A5A-E054FF5B5C48}"/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1389</Words>
  <Characters>9953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3</cp:revision>
  <cp:lastPrinted>2011-10-20T15:55:00Z</cp:lastPrinted>
  <dcterms:created xsi:type="dcterms:W3CDTF">2026-01-13T07:21:00Z</dcterms:created>
  <dcterms:modified xsi:type="dcterms:W3CDTF">2026-01-13T07:21:00Z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3acb3ded-3d6b-4cf8-a18f-e9b8c090020e</vt:lpwstr>
  </property>
</Properties>
</file>